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0B" w:rsidRDefault="006D080B" w:rsidP="001A0B8F">
      <w:pPr>
        <w:spacing w:after="0" w:line="360" w:lineRule="auto"/>
        <w:rPr>
          <w:b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8172"/>
      </w:tblGrid>
      <w:tr w:rsidR="006D080B" w:rsidRPr="009A6361" w:rsidTr="007F5E4A">
        <w:tc>
          <w:tcPr>
            <w:tcW w:w="225" w:type="dxa"/>
            <w:vAlign w:val="center"/>
            <w:hideMark/>
          </w:tcPr>
          <w:p w:rsidR="006D080B" w:rsidRPr="009A6361" w:rsidRDefault="006D080B" w:rsidP="007F5E4A">
            <w:pPr>
              <w:rPr>
                <w:rFonts w:ascii="Calibri" w:hAnsi="Calibri" w:cs="Calibri"/>
                <w:lang w:eastAsia="el-GR"/>
              </w:rPr>
            </w:pPr>
            <w:r w:rsidRPr="009A6361">
              <w:rPr>
                <w:rFonts w:ascii="Calibri" w:hAnsi="Calibri" w:cs="Calibri"/>
                <w:lang w:eastAsia="el-GR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6D080B" w:rsidRPr="009A6361" w:rsidTr="007F5E4A">
              <w:trPr>
                <w:trHeight w:val="80"/>
              </w:trPr>
              <w:tc>
                <w:tcPr>
                  <w:tcW w:w="0" w:type="auto"/>
                  <w:vAlign w:val="center"/>
                  <w:hideMark/>
                </w:tcPr>
                <w:p w:rsidR="006D080B" w:rsidRPr="009A6361" w:rsidRDefault="006D080B" w:rsidP="007F5E4A">
                  <w:pPr>
                    <w:spacing w:line="420" w:lineRule="atLeast"/>
                    <w:rPr>
                      <w:rFonts w:ascii="Calibri" w:hAnsi="Calibri" w:cs="Calibri"/>
                      <w:lang w:eastAsia="el-GR"/>
                    </w:rPr>
                  </w:pPr>
                </w:p>
              </w:tc>
            </w:tr>
            <w:tr w:rsidR="006D080B" w:rsidRPr="009A6361" w:rsidTr="007F5E4A">
              <w:tc>
                <w:tcPr>
                  <w:tcW w:w="0" w:type="auto"/>
                  <w:vAlign w:val="center"/>
                  <w:hideMark/>
                </w:tcPr>
                <w:p w:rsidR="006D080B" w:rsidRPr="009A6361" w:rsidRDefault="006D080B" w:rsidP="007F5E4A">
                  <w:pPr>
                    <w:rPr>
                      <w:rFonts w:ascii="Calibri" w:hAnsi="Calibri" w:cs="Calibri"/>
                      <w:lang w:eastAsia="el-GR"/>
                    </w:rPr>
                  </w:pPr>
                </w:p>
              </w:tc>
            </w:tr>
            <w:tr w:rsidR="006D080B" w:rsidRPr="009A6361" w:rsidTr="007F5E4A">
              <w:trPr>
                <w:trHeight w:val="210"/>
              </w:trPr>
              <w:tc>
                <w:tcPr>
                  <w:tcW w:w="0" w:type="auto"/>
                  <w:vAlign w:val="center"/>
                  <w:hideMark/>
                </w:tcPr>
                <w:p w:rsidR="006D080B" w:rsidRPr="009A6361" w:rsidRDefault="006D080B" w:rsidP="007F5E4A">
                  <w:pPr>
                    <w:spacing w:line="210" w:lineRule="atLeast"/>
                    <w:rPr>
                      <w:rFonts w:ascii="Calibri" w:hAnsi="Calibri" w:cs="Calibri"/>
                      <w:lang w:eastAsia="el-GR"/>
                    </w:rPr>
                  </w:pPr>
                </w:p>
              </w:tc>
            </w:tr>
            <w:tr w:rsidR="006D080B" w:rsidRPr="009A6361" w:rsidTr="007F5E4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single" w:sz="6" w:space="0" w:color="E5E5E5"/>
                      <w:left w:val="single" w:sz="6" w:space="0" w:color="E5E5E5"/>
                      <w:bottom w:val="single" w:sz="6" w:space="0" w:color="E5E5E5"/>
                      <w:right w:val="single" w:sz="6" w:space="0" w:color="E5E5E5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6"/>
                  </w:tblGrid>
                  <w:tr w:rsidR="006D080B" w:rsidRPr="009A6361" w:rsidTr="007F5E4A">
                    <w:tc>
                      <w:tcPr>
                        <w:tcW w:w="16981" w:type="dxa"/>
                        <w:vAlign w:val="center"/>
                        <w:hideMark/>
                      </w:tcPr>
                      <w:p w:rsidR="006D080B" w:rsidRPr="009A6361" w:rsidRDefault="006D080B" w:rsidP="007F5E4A">
                        <w:pPr>
                          <w:rPr>
                            <w:rFonts w:ascii="Calibri" w:hAnsi="Calibri" w:cs="Calibri"/>
                            <w:lang w:eastAsia="el-GR"/>
                          </w:rPr>
                        </w:pPr>
                        <w:r w:rsidRPr="009A6361">
                          <w:rPr>
                            <w:rFonts w:ascii="Calibri" w:hAnsi="Calibri" w:cs="Calibri"/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34050" cy="2143125"/>
                              <wp:effectExtent l="0" t="0" r="0" b="9525"/>
                              <wp:docPr id="2" name="Picture 2" descr="https://scontent.fath4-1.fna.fbcdn.net/v/t1.0-0/c0.0.638.239/p240x240/14232635_10154076759904633_4598712244337760879_n.jpg?oh=ecb23452a5611b8b1754b925a4b702ef&amp;oe=587B35B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content.fath4-1.fna.fbcdn.net/v/t1.0-0/c0.0.638.239/p240x240/14232635_10154076759904633_4598712244337760879_n.jpg?oh=ecb23452a5611b8b1754b925a4b702ef&amp;oe=587B35B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4050" cy="2143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080B" w:rsidRPr="009A6361" w:rsidTr="007F5E4A">
                    <w:tc>
                      <w:tcPr>
                        <w:tcW w:w="16981" w:type="dxa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6D080B" w:rsidRPr="009A6361" w:rsidRDefault="00C46968" w:rsidP="007F5E4A">
                        <w:pPr>
                          <w:rPr>
                            <w:rFonts w:ascii="Calibri" w:hAnsi="Calibri" w:cs="Calibri"/>
                            <w:b/>
                            <w:bCs/>
                            <w:color w:val="333333"/>
                            <w:sz w:val="27"/>
                            <w:szCs w:val="27"/>
                            <w:lang w:eastAsia="el-GR"/>
                          </w:rPr>
                        </w:pPr>
                        <w:hyperlink r:id="rId5" w:tgtFrame="_blank" w:history="1">
                          <w:r w:rsidR="006D080B" w:rsidRPr="009A6361">
                            <w:rPr>
                              <w:rFonts w:ascii="Calibri" w:hAnsi="Calibri" w:cs="Calibri"/>
                              <w:b/>
                              <w:bCs/>
                              <w:color w:val="3B5998"/>
                              <w:sz w:val="27"/>
                              <w:szCs w:val="27"/>
                              <w:lang w:eastAsia="el-GR"/>
                            </w:rPr>
                            <w:t>OUT Topias: Περφόρμανς &amp; Υπαίθριος / Δημόσιος Χώρος</w:t>
                          </w:r>
                        </w:hyperlink>
                        <w:r w:rsidR="006D080B" w:rsidRPr="009A6361">
                          <w:rPr>
                            <w:rFonts w:ascii="Calibri" w:hAnsi="Calibri" w:cs="Calibri"/>
                            <w:b/>
                            <w:bCs/>
                            <w:color w:val="333333"/>
                            <w:sz w:val="27"/>
                            <w:szCs w:val="27"/>
                            <w:lang w:eastAsia="el-GR"/>
                          </w:rPr>
                          <w:t xml:space="preserve">         </w:t>
                        </w:r>
                      </w:p>
                      <w:p w:rsidR="007F02AC" w:rsidRPr="007F02AC" w:rsidRDefault="006D080B" w:rsidP="007F5E4A">
                        <w:pPr>
                          <w:rPr>
                            <w:rFonts w:ascii="Calibri" w:hAnsi="Calibri" w:cs="Calibri"/>
                            <w:color w:val="141823"/>
                            <w:lang w:eastAsia="el-GR"/>
                          </w:rPr>
                        </w:pPr>
                        <w:r w:rsidRPr="009A6361">
                          <w:rPr>
                            <w:rFonts w:ascii="Calibri" w:hAnsi="Calibri" w:cs="Calibri"/>
                            <w:b/>
                            <w:bCs/>
                            <w:color w:val="333333"/>
                            <w:lang w:eastAsia="el-GR"/>
                          </w:rPr>
                          <w:t xml:space="preserve">Διάρκεια έκθεσης: </w:t>
                        </w:r>
                        <w:r w:rsidR="007F02AC">
                          <w:rPr>
                            <w:rFonts w:ascii="Calibri" w:hAnsi="Calibri" w:cs="Calibri"/>
                            <w:color w:val="141823"/>
                            <w:lang w:eastAsia="el-GR"/>
                          </w:rPr>
                          <w:t>22  Σεπτεμβρίου-20 Νοεμβρίoυ</w:t>
                        </w:r>
                      </w:p>
                    </w:tc>
                  </w:tr>
                  <w:tr w:rsidR="006D080B" w:rsidRPr="009A6361" w:rsidTr="007F5E4A">
                    <w:tc>
                      <w:tcPr>
                        <w:tcW w:w="16981" w:type="dxa"/>
                        <w:tcMar>
                          <w:top w:w="12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</w:tcPr>
                      <w:p w:rsidR="006D080B" w:rsidRPr="009A6361" w:rsidRDefault="006D080B" w:rsidP="007F5E4A">
                        <w:pPr>
                          <w:rPr>
                            <w:rFonts w:ascii="Calibri" w:hAnsi="Calibri" w:cs="Calibri"/>
                            <w:lang w:eastAsia="el-GR"/>
                          </w:rPr>
                        </w:pPr>
                      </w:p>
                    </w:tc>
                  </w:tr>
                  <w:tr w:rsidR="006D080B" w:rsidRPr="009A6361" w:rsidTr="007F5E4A">
                    <w:tc>
                      <w:tcPr>
                        <w:tcW w:w="16981" w:type="dxa"/>
                        <w:tcMar>
                          <w:top w:w="6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7406"/>
                        </w:tblGrid>
                        <w:tr w:rsidR="006D080B" w:rsidRPr="009A6361" w:rsidTr="007F5E4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6D080B" w:rsidRPr="009A6361" w:rsidRDefault="006D080B" w:rsidP="007F5E4A">
                              <w:pPr>
                                <w:rPr>
                                  <w:rFonts w:ascii="Calibri" w:hAnsi="Calibri" w:cs="Calibri"/>
                                  <w:sz w:val="2"/>
                                  <w:szCs w:val="2"/>
                                  <w:lang w:eastAsia="el-GR"/>
                                </w:rPr>
                              </w:pPr>
                              <w:r w:rsidRPr="009A6361">
                                <w:rPr>
                                  <w:rFonts w:ascii="Calibri" w:hAnsi="Calibri" w:cs="Calibri"/>
                                  <w:noProof/>
                                  <w:sz w:val="2"/>
                                  <w:szCs w:val="2"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1" name="Picture 1" descr="https://static.xx.fbcdn.net/rsrc.php/v3/yM/r/JcidzHQwWU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static.xx.fbcdn.net/rsrc.php/v3/yM/r/JcidzHQwWU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6D080B" w:rsidRPr="009A6361" w:rsidRDefault="006D080B" w:rsidP="007F5E4A">
                              <w:pPr>
                                <w:rPr>
                                  <w:rFonts w:ascii="Calibri" w:hAnsi="Calibri" w:cs="Calibri"/>
                                  <w:lang w:eastAsia="el-GR"/>
                                </w:rPr>
                              </w:pPr>
                              <w:r w:rsidRPr="009A6361">
                                <w:rPr>
                                  <w:rFonts w:ascii="Calibri" w:hAnsi="Calibri" w:cs="Calibri"/>
                                  <w:color w:val="0000FF"/>
                                  <w:u w:val="single"/>
                                  <w:lang w:eastAsia="el-GR"/>
                                </w:rPr>
                                <w:t>Μουσείο Μπενάκη, Πειραιώς</w:t>
                              </w:r>
                            </w:p>
                          </w:tc>
                        </w:tr>
                      </w:tbl>
                      <w:p w:rsidR="006D080B" w:rsidRPr="009A6361" w:rsidRDefault="006D080B" w:rsidP="007F5E4A">
                        <w:pPr>
                          <w:rPr>
                            <w:rFonts w:ascii="Calibri" w:hAnsi="Calibri" w:cs="Calibri"/>
                            <w:lang w:eastAsia="el-GR"/>
                          </w:rPr>
                        </w:pPr>
                      </w:p>
                    </w:tc>
                  </w:tr>
                </w:tbl>
                <w:p w:rsidR="006D080B" w:rsidRPr="009A6361" w:rsidRDefault="006D080B" w:rsidP="007F5E4A">
                  <w:pPr>
                    <w:rPr>
                      <w:rFonts w:ascii="Calibri" w:hAnsi="Calibri" w:cs="Calibri"/>
                      <w:lang w:eastAsia="el-GR"/>
                    </w:rPr>
                  </w:pPr>
                </w:p>
              </w:tc>
            </w:tr>
          </w:tbl>
          <w:p w:rsidR="006D080B" w:rsidRPr="009A6361" w:rsidRDefault="006D080B" w:rsidP="007F5E4A">
            <w:pPr>
              <w:rPr>
                <w:rFonts w:ascii="Calibri" w:hAnsi="Calibri" w:cs="Calibri"/>
                <w:lang w:eastAsia="el-GR"/>
              </w:rPr>
            </w:pPr>
          </w:p>
        </w:tc>
      </w:tr>
    </w:tbl>
    <w:p w:rsidR="001A0B8F" w:rsidRDefault="0074250F" w:rsidP="001A0B8F">
      <w:pPr>
        <w:spacing w:after="0" w:line="360" w:lineRule="auto"/>
        <w:rPr>
          <w:rFonts w:ascii="Calibri" w:hAnsi="Calibri"/>
          <w:b/>
          <w:bCs/>
          <w:sz w:val="28"/>
          <w:szCs w:val="28"/>
        </w:rPr>
      </w:pPr>
      <w:r w:rsidRPr="00CC21A4">
        <w:rPr>
          <w:b/>
          <w:sz w:val="28"/>
          <w:szCs w:val="28"/>
          <w:lang w:val="en-US"/>
        </w:rPr>
        <w:t>SITE</w:t>
      </w:r>
      <w:r w:rsidRPr="00CC21A4">
        <w:rPr>
          <w:b/>
          <w:sz w:val="28"/>
          <w:szCs w:val="28"/>
        </w:rPr>
        <w:t>-</w:t>
      </w:r>
      <w:r w:rsidRPr="00CC21A4">
        <w:rPr>
          <w:b/>
          <w:sz w:val="28"/>
          <w:szCs w:val="28"/>
          <w:lang w:val="en-US"/>
        </w:rPr>
        <w:t>SPECIFICS</w:t>
      </w:r>
      <w:r w:rsidR="00AD1FF3" w:rsidRPr="00CC21A4">
        <w:rPr>
          <w:rFonts w:ascii="Calibri" w:hAnsi="Calibri"/>
          <w:b/>
          <w:bCs/>
          <w:sz w:val="28"/>
          <w:szCs w:val="28"/>
        </w:rPr>
        <w:t xml:space="preserve">: </w:t>
      </w:r>
      <w:r w:rsidR="004F72F8" w:rsidRPr="00CC21A4">
        <w:rPr>
          <w:rFonts w:ascii="Calibri" w:hAnsi="Calibri"/>
          <w:b/>
          <w:bCs/>
          <w:sz w:val="28"/>
          <w:szCs w:val="28"/>
        </w:rPr>
        <w:t xml:space="preserve">Πολιτικές του </w:t>
      </w:r>
      <w:r w:rsidR="00C37AA5" w:rsidRPr="00CC21A4">
        <w:rPr>
          <w:rFonts w:ascii="Calibri" w:hAnsi="Calibri"/>
          <w:b/>
          <w:bCs/>
          <w:sz w:val="28"/>
          <w:szCs w:val="28"/>
        </w:rPr>
        <w:t>Χώ</w:t>
      </w:r>
      <w:r w:rsidR="004F72F8" w:rsidRPr="00CC21A4">
        <w:rPr>
          <w:rFonts w:ascii="Calibri" w:hAnsi="Calibri"/>
          <w:b/>
          <w:bCs/>
          <w:sz w:val="28"/>
          <w:szCs w:val="28"/>
        </w:rPr>
        <w:t>ρου και του Τόπου</w:t>
      </w:r>
    </w:p>
    <w:p w:rsidR="001A0B8F" w:rsidRPr="001A0B8F" w:rsidRDefault="004F72F8" w:rsidP="001A0B8F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CC21A4">
        <w:rPr>
          <w:rFonts w:ascii="Calibri" w:hAnsi="Calibri"/>
          <w:b/>
          <w:bCs/>
          <w:sz w:val="24"/>
          <w:szCs w:val="24"/>
        </w:rPr>
        <w:t>Σειρά ομιλιών σε επιμέλεια Μαρίας  Κονομή</w:t>
      </w:r>
    </w:p>
    <w:p w:rsidR="00F104E8" w:rsidRPr="00A23CB9" w:rsidRDefault="0074250F" w:rsidP="004F72F8">
      <w:pPr>
        <w:jc w:val="both"/>
        <w:rPr>
          <w:rFonts w:ascii="Calibri" w:hAnsi="Calibri"/>
          <w:b/>
          <w:bCs/>
          <w:sz w:val="24"/>
          <w:szCs w:val="24"/>
          <w:lang w:val="en-US"/>
        </w:rPr>
      </w:pPr>
      <w:r w:rsidRPr="00A23CB9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Σάββατο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  1/10 19:00 </w:t>
      </w:r>
      <w:r w:rsidRPr="00A23CB9">
        <w:rPr>
          <w:rFonts w:ascii="Calibri" w:hAnsi="Calibri"/>
          <w:b/>
          <w:bCs/>
          <w:i/>
          <w:sz w:val="24"/>
          <w:szCs w:val="24"/>
        </w:rPr>
        <w:t>ΕΠΙΤΕΛΩΝΤΑΣ</w:t>
      </w:r>
      <w:r w:rsidRPr="00A23CB9">
        <w:rPr>
          <w:rFonts w:ascii="Calibri" w:hAnsi="Calibri"/>
          <w:b/>
          <w:bCs/>
          <w:i/>
          <w:sz w:val="24"/>
          <w:szCs w:val="24"/>
          <w:lang w:val="en-US"/>
        </w:rPr>
        <w:t xml:space="preserve"> </w:t>
      </w:r>
      <w:r w:rsidRPr="00A23CB9">
        <w:rPr>
          <w:rFonts w:ascii="Calibri" w:hAnsi="Calibri"/>
          <w:b/>
          <w:bCs/>
          <w:i/>
          <w:sz w:val="24"/>
          <w:szCs w:val="24"/>
        </w:rPr>
        <w:t>ΤΟΠΟΥΣ</w:t>
      </w:r>
      <w:r w:rsidRPr="00A23CB9">
        <w:rPr>
          <w:rFonts w:ascii="Calibri" w:hAnsi="Calibri"/>
          <w:b/>
          <w:bCs/>
          <w:i/>
          <w:sz w:val="24"/>
          <w:szCs w:val="24"/>
          <w:lang w:val="en-US"/>
        </w:rPr>
        <w:t xml:space="preserve">:  </w:t>
      </w:r>
      <w:r w:rsidRPr="00A23CB9">
        <w:rPr>
          <w:rFonts w:ascii="Calibri" w:hAnsi="Calibri"/>
          <w:b/>
          <w:bCs/>
          <w:i/>
          <w:sz w:val="24"/>
          <w:szCs w:val="24"/>
        </w:rPr>
        <w:t>μια</w:t>
      </w:r>
      <w:r w:rsidRPr="00A23CB9">
        <w:rPr>
          <w:rFonts w:ascii="Calibri" w:hAnsi="Calibri"/>
          <w:b/>
          <w:bCs/>
          <w:i/>
          <w:sz w:val="24"/>
          <w:szCs w:val="24"/>
          <w:lang w:val="en-US"/>
        </w:rPr>
        <w:t xml:space="preserve"> </w:t>
      </w:r>
      <w:r w:rsidRPr="00A23CB9">
        <w:rPr>
          <w:rFonts w:ascii="Calibri" w:hAnsi="Calibri"/>
          <w:b/>
          <w:bCs/>
          <w:i/>
          <w:sz w:val="24"/>
          <w:szCs w:val="24"/>
        </w:rPr>
        <w:t>συμμετοχική</w:t>
      </w:r>
      <w:r w:rsidRPr="00A23CB9">
        <w:rPr>
          <w:rFonts w:ascii="Calibri" w:hAnsi="Calibri"/>
          <w:b/>
          <w:bCs/>
          <w:i/>
          <w:sz w:val="24"/>
          <w:szCs w:val="24"/>
          <w:lang w:val="en-US"/>
        </w:rPr>
        <w:t xml:space="preserve"> </w:t>
      </w:r>
      <w:r w:rsidRPr="00A23CB9">
        <w:rPr>
          <w:rFonts w:ascii="Calibri" w:hAnsi="Calibri"/>
          <w:b/>
          <w:bCs/>
          <w:i/>
          <w:sz w:val="24"/>
          <w:szCs w:val="24"/>
        </w:rPr>
        <w:t>πρακτική</w:t>
      </w:r>
      <w:r w:rsidRPr="00A23CB9">
        <w:rPr>
          <w:rFonts w:ascii="Calibri" w:hAnsi="Calibri"/>
          <w:b/>
          <w:bCs/>
          <w:i/>
          <w:sz w:val="24"/>
          <w:szCs w:val="24"/>
          <w:lang w:val="en-US"/>
        </w:rPr>
        <w:t>:</w:t>
      </w:r>
      <w:r w:rsidRPr="00A23CB9">
        <w:rPr>
          <w:rFonts w:cstheme="minorHAnsi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Professor Sally Mackey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, Chair of Applied Theatre and Performance;</w:t>
      </w:r>
      <w:r w:rsidRPr="00A23CB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Associate Director (Research and Projects), 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>Τ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he Royal Central School of Speech and Drama, University of London</w:t>
      </w:r>
    </w:p>
    <w:p w:rsidR="00D65E80" w:rsidRPr="001A7A06" w:rsidRDefault="00D65E80" w:rsidP="00D65E80">
      <w:pPr>
        <w:jc w:val="both"/>
        <w:rPr>
          <w:rFonts w:ascii="Calibri" w:hAnsi="Calibri" w:cs="Times New Roman"/>
          <w:bCs/>
        </w:rPr>
      </w:pPr>
      <w:r>
        <w:rPr>
          <w:rFonts w:ascii="Calibri" w:hAnsi="Calibri"/>
          <w:bCs/>
        </w:rPr>
        <w:t>Η</w:t>
      </w:r>
      <w:r w:rsidRPr="00A30BA0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>Sally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Mackey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εφαρμόζοντας το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σύνολο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πρακτικών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‘Performing</w:t>
      </w:r>
      <w:r w:rsidRPr="00874E6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Place’ θέτει  προκλητικά ερωτήματα γύρω από την εμπειρία  και την αντίληψη του χώρου και του τόπου.  Θέτοντας υπό αμφισβήτηση την έννοια του ’ρευστού’ χώρου, θα χρησιμοποιήσει</w:t>
      </w:r>
      <w:r w:rsidRPr="001A7A0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εμπειρικό</w:t>
      </w:r>
      <w:r w:rsidRPr="001A7A0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υλικό</w:t>
      </w:r>
      <w:r w:rsidRPr="001A7A0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τεκμηρίωσης</w:t>
      </w:r>
      <w:r w:rsidRPr="001A7A06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>από</w:t>
      </w:r>
      <w:r w:rsidRPr="001A7A0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τα ερευνητικά της πρότζεκτ, </w:t>
      </w:r>
      <w:r w:rsidRPr="001A7A0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για το πως  άνθρωποι και  κοινότητες μπορούν να στοχαστούν εκ νέου πάνω στην ‘τοποθεσία’ μέσα από επιτελεστικές πρακτικές.</w:t>
      </w:r>
    </w:p>
    <w:p w:rsidR="0074250F" w:rsidRDefault="0074250F" w:rsidP="004F72F8">
      <w:pPr>
        <w:jc w:val="both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966437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Σάββατο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29/10 17</w:t>
      </w:r>
      <w:r w:rsidRPr="0030088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: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30 </w:t>
      </w:r>
      <w:r w:rsidRPr="00EF1312">
        <w:rPr>
          <w:b/>
          <w:i/>
          <w:sz w:val="24"/>
          <w:szCs w:val="24"/>
          <w:lang w:val="en-US"/>
        </w:rPr>
        <w:t xml:space="preserve">Dance- Architectures: </w:t>
      </w:r>
      <w:proofErr w:type="spellStart"/>
      <w:r w:rsidRPr="00EF1312">
        <w:rPr>
          <w:b/>
          <w:i/>
          <w:sz w:val="24"/>
          <w:szCs w:val="24"/>
          <w:lang w:val="en-US"/>
        </w:rPr>
        <w:t>MAPping</w:t>
      </w:r>
      <w:proofErr w:type="spellEnd"/>
      <w:r w:rsidRPr="00EF1312">
        <w:rPr>
          <w:b/>
          <w:i/>
          <w:sz w:val="24"/>
          <w:szCs w:val="24"/>
          <w:lang w:val="en-US"/>
        </w:rPr>
        <w:t xml:space="preserve"> Liquid and Fractured Ground:</w:t>
      </w:r>
      <w:r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 xml:space="preserve">Professor </w:t>
      </w:r>
      <w:proofErr w:type="spellStart"/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Dorita</w:t>
      </w:r>
      <w:proofErr w:type="spellEnd"/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 xml:space="preserve"> Hannah</w:t>
      </w:r>
      <w:r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(PhD), University of Tasmania: Art Architecture &amp; Design</w:t>
      </w:r>
    </w:p>
    <w:p w:rsidR="0054492C" w:rsidRPr="00A23CB9" w:rsidRDefault="0054492C" w:rsidP="004F72F8">
      <w:pPr>
        <w:jc w:val="both"/>
        <w:rPr>
          <w:rFonts w:cstheme="minorHAnsi"/>
          <w:color w:val="000000"/>
          <w:shd w:val="clear" w:color="auto" w:fill="FFFFFF"/>
        </w:rPr>
      </w:pPr>
      <w:r w:rsidRPr="00A23CB9">
        <w:t>Από το 2002, η Dorita H</w:t>
      </w:r>
      <w:r w:rsidR="004F72F8" w:rsidRPr="00A23CB9">
        <w:rPr>
          <w:lang w:val="en-US"/>
        </w:rPr>
        <w:t>a</w:t>
      </w:r>
      <w:r w:rsidRPr="00A23CB9">
        <w:t>nn</w:t>
      </w:r>
      <w:r w:rsidR="00A23CB9">
        <w:t>ah συνεργάστηκε με τη χορογράφο</w:t>
      </w:r>
      <w:r w:rsidRPr="00A23CB9">
        <w:t xml:space="preserve"> </w:t>
      </w:r>
      <w:r w:rsidRPr="00A23CB9">
        <w:rPr>
          <w:lang w:val="en-US"/>
        </w:rPr>
        <w:t>Carol</w:t>
      </w:r>
      <w:r w:rsidRPr="00A23CB9">
        <w:t xml:space="preserve"> </w:t>
      </w:r>
      <w:r w:rsidRPr="00A23CB9">
        <w:rPr>
          <w:lang w:val="en-US"/>
        </w:rPr>
        <w:t>Brown</w:t>
      </w:r>
      <w:r w:rsidR="00A23CB9">
        <w:t xml:space="preserve"> </w:t>
      </w:r>
      <w:r w:rsidRPr="00A23CB9">
        <w:t>σε μια σειρά από χορο-αρχιτεκτονικά συμβάντα τα οποία εξερευνούν τι συμβαίνει όταν ο αργός χρόνος του αρχιτεκτονικά δομημένου περιβάλλοντος αλληλοτέμνεται με τις ποικίλες χρονικότητες ιστορικών, αισθητικών και καθημερινών συμβάντων.”</w:t>
      </w:r>
    </w:p>
    <w:p w:rsidR="00A23CB9" w:rsidRPr="005A5EBA" w:rsidRDefault="0074250F" w:rsidP="004F72F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A5EBA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lastRenderedPageBreak/>
        <w:t>Παρασκευή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4/11  18:00 </w:t>
      </w:r>
      <w:r w:rsidRPr="005A5EBA">
        <w:rPr>
          <w:b/>
          <w:i/>
          <w:sz w:val="24"/>
          <w:szCs w:val="24"/>
          <w:lang w:val="en-US"/>
        </w:rPr>
        <w:t xml:space="preserve">‘EU IMMIGRANTS EU CITIZENS’ – Active </w:t>
      </w:r>
      <w:proofErr w:type="spellStart"/>
      <w:r w:rsidRPr="005A5EBA">
        <w:rPr>
          <w:b/>
          <w:i/>
          <w:sz w:val="24"/>
          <w:szCs w:val="24"/>
          <w:lang w:val="en-US"/>
        </w:rPr>
        <w:t>Scenographic</w:t>
      </w:r>
      <w:proofErr w:type="spellEnd"/>
      <w:r w:rsidRPr="005A5EBA">
        <w:rPr>
          <w:b/>
          <w:i/>
          <w:sz w:val="24"/>
          <w:szCs w:val="24"/>
          <w:lang w:val="en-US"/>
        </w:rPr>
        <w:t xml:space="preserve"> Bodies:</w:t>
      </w:r>
      <w:r w:rsidRPr="005A5EBA">
        <w:rPr>
          <w:b/>
          <w:sz w:val="24"/>
          <w:szCs w:val="24"/>
          <w:lang w:val="en-US"/>
        </w:rPr>
        <w:t xml:space="preserve"> 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</w:rPr>
        <w:t>Ανδρέας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</w:rPr>
        <w:t>Σκούρτης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</w:rPr>
        <w:t>Λέκτορας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</w:rPr>
        <w:t>Σκηνογραφίας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</w:rPr>
        <w:t>Τ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he Royal Central School of Speech and Drama, University of  London (BA, Dipl. Arch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MA</w:t>
      </w:r>
      <w:r w:rsidRPr="005A5EBA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E355F2" w:rsidRPr="00E355F2" w:rsidRDefault="00F92B99" w:rsidP="004F72F8">
      <w:pPr>
        <w:jc w:val="both"/>
        <w:rPr>
          <w:b/>
        </w:rPr>
      </w:pPr>
      <w:r w:rsidRPr="00A23CB9">
        <w:t>Σε</w:t>
      </w:r>
      <w:r w:rsidR="00E355F2" w:rsidRPr="00A23CB9">
        <w:t xml:space="preserve"> αυτήν την παρουσίαση </w:t>
      </w:r>
      <w:r w:rsidR="00A23CB9" w:rsidRPr="00A23CB9">
        <w:t xml:space="preserve"> των δράσεων </w:t>
      </w:r>
      <w:r w:rsidR="00A23CB9">
        <w:t>σ</w:t>
      </w:r>
      <w:r w:rsidR="00A23CB9" w:rsidRPr="00A23CB9">
        <w:t>το δημόσιο χ</w:t>
      </w:r>
      <w:r w:rsidR="00A23CB9">
        <w:t>ώρο</w:t>
      </w:r>
      <w:r w:rsidR="00A23CB9" w:rsidRPr="00A23CB9">
        <w:t xml:space="preserve"> του πρότζεκτ</w:t>
      </w:r>
      <w:r w:rsidR="00E355F2" w:rsidRPr="00A23CB9">
        <w:t xml:space="preserve"> </w:t>
      </w:r>
      <w:r w:rsidR="00A23CB9" w:rsidRPr="00A23CB9">
        <w:t>‘</w:t>
      </w:r>
      <w:r w:rsidR="00A23CB9" w:rsidRPr="00A23CB9">
        <w:rPr>
          <w:lang w:val="en-US"/>
        </w:rPr>
        <w:t>EU</w:t>
      </w:r>
      <w:r w:rsidR="00A23CB9" w:rsidRPr="00A23CB9">
        <w:t xml:space="preserve"> </w:t>
      </w:r>
      <w:r w:rsidR="00A23CB9" w:rsidRPr="00A23CB9">
        <w:rPr>
          <w:lang w:val="en-US"/>
        </w:rPr>
        <w:t>IMMIGRANTS</w:t>
      </w:r>
      <w:r w:rsidR="00A23CB9" w:rsidRPr="00A23CB9">
        <w:t xml:space="preserve"> </w:t>
      </w:r>
      <w:r w:rsidR="00A23CB9" w:rsidRPr="00A23CB9">
        <w:rPr>
          <w:lang w:val="en-US"/>
        </w:rPr>
        <w:t>EU</w:t>
      </w:r>
      <w:r w:rsidR="00A23CB9" w:rsidRPr="00A23CB9">
        <w:t xml:space="preserve"> </w:t>
      </w:r>
      <w:r w:rsidR="00A23CB9" w:rsidRPr="00A23CB9">
        <w:rPr>
          <w:lang w:val="en-US"/>
        </w:rPr>
        <w:t>CITIZENS</w:t>
      </w:r>
      <w:r w:rsidR="00A23CB9" w:rsidRPr="00A23CB9">
        <w:t xml:space="preserve">’ </w:t>
      </w:r>
      <w:r w:rsidR="00A23CB9">
        <w:t>ο Α</w:t>
      </w:r>
      <w:r w:rsidR="00E355F2" w:rsidRPr="00A23CB9">
        <w:t xml:space="preserve">νδρέας Σκούρτης εξετάζει τη χρήση της δημόσιας αρχιτεκτονικής ως ‘σκηνογραφική μεταφορά’, </w:t>
      </w:r>
      <w:r w:rsidR="00923A04">
        <w:t xml:space="preserve"> αλλά και </w:t>
      </w:r>
      <w:r w:rsidR="00E355F2" w:rsidRPr="00A23CB9">
        <w:t>τρόπους σωματοποίησης της επίγνωσης γύρω από κοινωνικά-</w:t>
      </w:r>
      <w:r w:rsidR="00E355F2">
        <w:t>πολιτισμικά ζητήματα μέσω της σκηνογραφίας</w:t>
      </w:r>
      <w:r w:rsidR="004F72F8">
        <w:t>.</w:t>
      </w:r>
    </w:p>
    <w:p w:rsidR="0074250F" w:rsidRPr="00A23CB9" w:rsidRDefault="0074250F" w:rsidP="004F72F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23CB9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Σάββατο</w:t>
      </w:r>
      <w:r w:rsidRPr="00A23CB9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 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 12/11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 18:00 </w:t>
      </w:r>
      <w:r w:rsidRPr="00A23CB9">
        <w:rPr>
          <w:b/>
          <w:i/>
          <w:sz w:val="24"/>
          <w:szCs w:val="24"/>
        </w:rPr>
        <w:t>Για την πολιτική του ιδιοτο</w:t>
      </w:r>
      <w:r w:rsidR="00423D2F">
        <w:rPr>
          <w:b/>
          <w:i/>
          <w:sz w:val="24"/>
          <w:szCs w:val="24"/>
        </w:rPr>
        <w:t xml:space="preserve">πικού: </w:t>
      </w:r>
      <w:r w:rsidRPr="00A23CB9">
        <w:rPr>
          <w:b/>
          <w:i/>
          <w:sz w:val="24"/>
          <w:szCs w:val="24"/>
        </w:rPr>
        <w:t>χ</w:t>
      </w:r>
      <w:r w:rsidR="00423D2F">
        <w:rPr>
          <w:b/>
          <w:i/>
          <w:sz w:val="24"/>
          <w:szCs w:val="24"/>
        </w:rPr>
        <w:t>ωρικές πολιτικές και</w:t>
      </w:r>
      <w:r w:rsidRPr="00A23CB9">
        <w:rPr>
          <w:b/>
          <w:i/>
          <w:sz w:val="24"/>
          <w:szCs w:val="24"/>
        </w:rPr>
        <w:t xml:space="preserve"> χωρικότητες της</w:t>
      </w:r>
      <w:r w:rsidR="00423D2F">
        <w:rPr>
          <w:b/>
          <w:i/>
          <w:sz w:val="24"/>
          <w:szCs w:val="24"/>
        </w:rPr>
        <w:t xml:space="preserve"> αντίστασης</w:t>
      </w:r>
      <w:r w:rsidRPr="00A23CB9">
        <w:rPr>
          <w:b/>
          <w:i/>
          <w:sz w:val="24"/>
          <w:szCs w:val="24"/>
        </w:rPr>
        <w:t>:</w:t>
      </w:r>
      <w:r w:rsidRPr="00A23CB9">
        <w:rPr>
          <w:b/>
          <w:sz w:val="24"/>
          <w:szCs w:val="24"/>
        </w:rPr>
        <w:t xml:space="preserve"> </w:t>
      </w:r>
      <w:r w:rsidRPr="005A5EBA">
        <w:rPr>
          <w:rFonts w:cstheme="minorHAnsi"/>
          <w:b/>
          <w:color w:val="000000"/>
          <w:sz w:val="24"/>
          <w:szCs w:val="24"/>
          <w:shd w:val="clear" w:color="auto" w:fill="FFFFFF"/>
        </w:rPr>
        <w:t>Μαρία Κονομή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Phd</w:t>
      </w:r>
      <w:proofErr w:type="spellEnd"/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MA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BA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>),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A23CB9">
        <w:rPr>
          <w:rFonts w:cstheme="minorHAnsi"/>
          <w:color w:val="000000"/>
          <w:sz w:val="24"/>
          <w:szCs w:val="24"/>
          <w:shd w:val="clear" w:color="auto" w:fill="FFFFFF"/>
        </w:rPr>
        <w:t xml:space="preserve"> Διδάσκουσα Πανεπιστημίου Πατρών </w:t>
      </w:r>
    </w:p>
    <w:p w:rsidR="0074250F" w:rsidRPr="0074250F" w:rsidRDefault="002E2E70" w:rsidP="008233F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Χρησιμοποιώντας </w:t>
      </w:r>
      <w:r w:rsidR="0074250F">
        <w:t>επιλεγμένα παραδείγματα από σύγχρονα ιδιοτοπικά έργα θα ασχοληθούμε με ορισμένες προκλήσεις της διττής οντολογίας της ιδιοτοπικότητας</w:t>
      </w:r>
      <w:r w:rsidR="0074250F" w:rsidRPr="00EC5FA5">
        <w:t>:</w:t>
      </w:r>
      <w:r w:rsidR="0074250F">
        <w:t xml:space="preserve"> πραγματικότητα και επινόηση ως ταυτόχρονες διαδραστικές και σχεσιολογικές ορίζουσες της συνθήκης και της αντίληψης των ιδιοτοπικών έργων.</w:t>
      </w:r>
    </w:p>
    <w:p w:rsidR="0074250F" w:rsidRPr="004F72F8" w:rsidRDefault="00966437" w:rsidP="004F72F8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Κυριακή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13/11</w:t>
      </w:r>
      <w:r w:rsidR="0074250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="0074250F">
        <w:rPr>
          <w:rFonts w:cstheme="minorHAnsi"/>
          <w:color w:val="000000"/>
          <w:sz w:val="24"/>
          <w:szCs w:val="24"/>
          <w:shd w:val="clear" w:color="auto" w:fill="FFFFFF"/>
        </w:rPr>
        <w:t xml:space="preserve"> 17: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00</w:t>
      </w:r>
      <w:r w:rsidR="0074250F" w:rsidRPr="00F4325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F4325A">
        <w:rPr>
          <w:rFonts w:cstheme="minorHAnsi"/>
          <w:b/>
          <w:i/>
          <w:sz w:val="24"/>
          <w:szCs w:val="24"/>
        </w:rPr>
        <w:t>Τοπία της κρίσης και της ‘οικονομίας διαμοιρασμού’ στη Μεσογειακή πόλη</w:t>
      </w:r>
      <w:r w:rsidR="0074250F" w:rsidRPr="00851736">
        <w:rPr>
          <w:rFonts w:cstheme="minorHAnsi"/>
          <w:b/>
          <w:i/>
          <w:sz w:val="24"/>
          <w:szCs w:val="24"/>
        </w:rPr>
        <w:t>:</w:t>
      </w:r>
      <w:r w:rsidR="0074250F" w:rsidRPr="00F4325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A5EBA">
        <w:rPr>
          <w:rFonts w:cstheme="minorHAnsi"/>
          <w:b/>
          <w:color w:val="000000"/>
          <w:sz w:val="24"/>
          <w:szCs w:val="24"/>
          <w:shd w:val="clear" w:color="auto" w:fill="FFFFFF"/>
        </w:rPr>
        <w:t>Λίλα Λεοντίδου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01EE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K</w:t>
      </w:r>
      <w:r w:rsidR="0074250F" w:rsidRPr="00501EEA">
        <w:rPr>
          <w:rFonts w:cstheme="minorHAnsi"/>
          <w:color w:val="000000"/>
          <w:sz w:val="24"/>
          <w:szCs w:val="24"/>
          <w:shd w:val="clear" w:color="auto" w:fill="FFFFFF"/>
        </w:rPr>
        <w:t>αθηγήτρια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</w:rPr>
        <w:t>Μεσογειακών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</w:rPr>
        <w:t>Σπουδών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</w:rPr>
        <w:t>Πανεπιστήμιο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</w:rPr>
        <w:t>Πελοποννήσου</w:t>
      </w:r>
      <w:r w:rsidR="00E47D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proofErr w:type="spellStart"/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Dipl</w:t>
      </w:r>
      <w:proofErr w:type="spellEnd"/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E47D6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Arch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EM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</w:rPr>
        <w:t>Π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),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M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proofErr w:type="spellStart"/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Sc</w:t>
      </w:r>
      <w:proofErr w:type="spellEnd"/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LSE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),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PH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D</w:t>
      </w:r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Univ</w:t>
      </w:r>
      <w:proofErr w:type="spellEnd"/>
      <w:r w:rsidR="0074250F" w:rsidRPr="0069537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74250F" w:rsidRPr="005E3EAA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London</w:t>
      </w:r>
      <w:r w:rsidR="0074250F" w:rsidRPr="004F72F8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:rsidR="004A4EE1" w:rsidRPr="00EA2712" w:rsidRDefault="00A64008" w:rsidP="008233F0">
      <w:pPr>
        <w:spacing w:after="120"/>
        <w:jc w:val="both"/>
        <w:rPr>
          <w:rFonts w:cstheme="minorHAnsi"/>
          <w:szCs w:val="20"/>
        </w:rPr>
      </w:pPr>
      <w:r w:rsidRPr="00406525">
        <w:rPr>
          <w:rFonts w:cstheme="minorHAnsi"/>
        </w:rPr>
        <w:t>Στην παρουσίαση α</w:t>
      </w:r>
      <w:r w:rsidR="006F19C8">
        <w:rPr>
          <w:rFonts w:cstheme="minorHAnsi"/>
        </w:rPr>
        <w:t>υτή θα διαπραγματευτούμε το</w:t>
      </w:r>
      <w:r w:rsidRPr="00406525">
        <w:rPr>
          <w:rFonts w:cstheme="minorHAnsi"/>
        </w:rPr>
        <w:t xml:space="preserve"> πώς αλλάζουν οι δυνατότητες για τις παραστατικές τέχνες σε σχέση με τον αστικό χώρο, για τις </w:t>
      </w:r>
      <w:r w:rsidRPr="00406525">
        <w:rPr>
          <w:rFonts w:cstheme="minorHAnsi"/>
          <w:lang w:val="en-GB"/>
        </w:rPr>
        <w:t>site</w:t>
      </w:r>
      <w:r w:rsidRPr="00406525">
        <w:rPr>
          <w:rFonts w:cstheme="minorHAnsi"/>
        </w:rPr>
        <w:t>-</w:t>
      </w:r>
      <w:r w:rsidRPr="00406525">
        <w:rPr>
          <w:rFonts w:cstheme="minorHAnsi"/>
          <w:lang w:val="en-GB"/>
        </w:rPr>
        <w:t>specific</w:t>
      </w:r>
      <w:r w:rsidRPr="00406525">
        <w:rPr>
          <w:rFonts w:cstheme="minorHAnsi"/>
        </w:rPr>
        <w:t xml:space="preserve"> </w:t>
      </w:r>
      <w:r w:rsidRPr="00406525">
        <w:rPr>
          <w:rFonts w:cstheme="minorHAnsi"/>
          <w:lang w:val="en-GB"/>
        </w:rPr>
        <w:t>performances</w:t>
      </w:r>
      <w:r w:rsidRPr="00406525">
        <w:rPr>
          <w:rFonts w:cstheme="minorHAnsi"/>
        </w:rPr>
        <w:t>, με τις νέες χωρ</w:t>
      </w:r>
      <w:r w:rsidR="00406525" w:rsidRPr="00406525">
        <w:rPr>
          <w:rFonts w:cstheme="minorHAnsi"/>
        </w:rPr>
        <w:t xml:space="preserve">ικότητες της δεκαετίας του 2010: </w:t>
      </w:r>
      <w:r w:rsidR="00406525">
        <w:rPr>
          <w:rFonts w:cstheme="minorHAnsi"/>
        </w:rPr>
        <w:t xml:space="preserve"> το </w:t>
      </w:r>
      <w:r w:rsidR="00406525" w:rsidRPr="00406525">
        <w:rPr>
          <w:rFonts w:cstheme="minorHAnsi"/>
        </w:rPr>
        <w:t>‘δικαίωμα στην πόλη’</w:t>
      </w:r>
      <w:r w:rsidR="00406525">
        <w:rPr>
          <w:rFonts w:cstheme="minorHAnsi"/>
        </w:rPr>
        <w:t xml:space="preserve">, </w:t>
      </w:r>
      <w:r w:rsidR="006F19C8">
        <w:rPr>
          <w:rFonts w:cstheme="minorHAnsi"/>
        </w:rPr>
        <w:t xml:space="preserve"> την εναλλακτική</w:t>
      </w:r>
      <w:r w:rsidR="00406525" w:rsidRPr="00406525">
        <w:rPr>
          <w:rFonts w:cstheme="minorHAnsi"/>
        </w:rPr>
        <w:t xml:space="preserve"> δράση </w:t>
      </w:r>
      <w:r w:rsidR="00406525">
        <w:rPr>
          <w:rFonts w:cstheme="minorHAnsi"/>
        </w:rPr>
        <w:t xml:space="preserve">που διέπεται </w:t>
      </w:r>
      <w:r w:rsidR="00406525" w:rsidRPr="00406525">
        <w:rPr>
          <w:rFonts w:cstheme="minorHAnsi"/>
        </w:rPr>
        <w:t>από τα ‘κοινά’ και τις ‘οικονομίες διαμοιρασμού’ στη Μεσογειακή πόλη.</w:t>
      </w:r>
    </w:p>
    <w:p w:rsidR="008A7A15" w:rsidRPr="00C46968" w:rsidRDefault="008A7A15" w:rsidP="00DE1594">
      <w:pPr>
        <w:rPr>
          <w:b/>
          <w:sz w:val="28"/>
          <w:szCs w:val="28"/>
        </w:rPr>
      </w:pPr>
      <w:bookmarkStart w:id="0" w:name="_GoBack"/>
      <w:bookmarkEnd w:id="0"/>
    </w:p>
    <w:sectPr w:rsidR="008A7A15" w:rsidRPr="00C46968" w:rsidSect="002310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0F"/>
    <w:rsid w:val="001A0B8F"/>
    <w:rsid w:val="00257CCE"/>
    <w:rsid w:val="00280E54"/>
    <w:rsid w:val="002D406B"/>
    <w:rsid w:val="002E2E70"/>
    <w:rsid w:val="00324F7D"/>
    <w:rsid w:val="00363EB0"/>
    <w:rsid w:val="003A31AD"/>
    <w:rsid w:val="00406525"/>
    <w:rsid w:val="00423D2F"/>
    <w:rsid w:val="004A4EE1"/>
    <w:rsid w:val="004F72F8"/>
    <w:rsid w:val="00501EEA"/>
    <w:rsid w:val="0054492C"/>
    <w:rsid w:val="005A5EBA"/>
    <w:rsid w:val="005C6955"/>
    <w:rsid w:val="00603684"/>
    <w:rsid w:val="006D080B"/>
    <w:rsid w:val="006F19C8"/>
    <w:rsid w:val="0074250F"/>
    <w:rsid w:val="007F02AC"/>
    <w:rsid w:val="008233F0"/>
    <w:rsid w:val="008611A6"/>
    <w:rsid w:val="008A7A15"/>
    <w:rsid w:val="00923A04"/>
    <w:rsid w:val="00966437"/>
    <w:rsid w:val="009928CA"/>
    <w:rsid w:val="00A23CB9"/>
    <w:rsid w:val="00A64008"/>
    <w:rsid w:val="00AB4F58"/>
    <w:rsid w:val="00AD1FF3"/>
    <w:rsid w:val="00B52B2C"/>
    <w:rsid w:val="00C37AA5"/>
    <w:rsid w:val="00C46968"/>
    <w:rsid w:val="00CC21A4"/>
    <w:rsid w:val="00D65E80"/>
    <w:rsid w:val="00DE1594"/>
    <w:rsid w:val="00E355F2"/>
    <w:rsid w:val="00E47D6D"/>
    <w:rsid w:val="00EA2712"/>
    <w:rsid w:val="00EB53F6"/>
    <w:rsid w:val="00F104E8"/>
    <w:rsid w:val="00F170A2"/>
    <w:rsid w:val="00F92B99"/>
    <w:rsid w:val="00F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59442-160A-47C0-ACE2-0E38EC9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n/?events/177227612707061/&amp;ref=6&amp;ref_notif_type=plan_user_invited&amp;action_history=null&amp;aref=1473497017717194&amp;medium=email&amp;mid=53c22f8bb8ef8G24afdb54G53c23425191caG6bG55b3&amp;bcode=1.1473497011.AbnzqhNsIOoxOV2r&amp;n_m=mariakonomis%40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Maria Konomis</cp:lastModifiedBy>
  <cp:revision>3</cp:revision>
  <dcterms:created xsi:type="dcterms:W3CDTF">2016-09-26T10:13:00Z</dcterms:created>
  <dcterms:modified xsi:type="dcterms:W3CDTF">2016-09-26T10:13:00Z</dcterms:modified>
</cp:coreProperties>
</file>